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5C" w:rsidRPr="00086E9D" w:rsidRDefault="007C4C5C" w:rsidP="007C4C5C">
      <w:pPr>
        <w:keepNext/>
        <w:widowControl/>
        <w:autoSpaceDE/>
        <w:autoSpaceDN/>
        <w:adjustRightInd/>
        <w:jc w:val="center"/>
        <w:outlineLvl w:val="2"/>
        <w:rPr>
          <w:rFonts w:ascii="Arial" w:hAnsi="Arial" w:cs="Arial"/>
          <w:b/>
          <w:bCs/>
          <w:sz w:val="22"/>
        </w:rPr>
      </w:pPr>
      <w:r w:rsidRPr="00180C4E">
        <w:rPr>
          <w:rFonts w:ascii="Arial" w:hAnsi="Arial" w:cs="Arial"/>
          <w:b/>
          <w:bCs/>
          <w:sz w:val="22"/>
        </w:rPr>
        <w:t>SECTION</w:t>
      </w:r>
      <w:r w:rsidRPr="00086E9D">
        <w:rPr>
          <w:rFonts w:ascii="Arial" w:hAnsi="Arial" w:cs="Arial"/>
          <w:b/>
          <w:bCs/>
          <w:sz w:val="22"/>
        </w:rPr>
        <w:t xml:space="preserve"> 714 – PAINT AND PAVEMENT MARKINGS</w:t>
      </w:r>
    </w:p>
    <w:p w:rsidR="007C4C5C" w:rsidRPr="00086E9D" w:rsidRDefault="007C4C5C" w:rsidP="007C4C5C">
      <w:pPr>
        <w:widowControl/>
        <w:autoSpaceDE/>
        <w:autoSpaceDN/>
        <w:adjustRightInd/>
        <w:jc w:val="center"/>
        <w:rPr>
          <w:rFonts w:ascii="Arial" w:hAnsi="Arial" w:cs="Arial"/>
          <w:b/>
          <w:sz w:val="22"/>
          <w:szCs w:val="22"/>
        </w:rPr>
      </w:pPr>
    </w:p>
    <w:p w:rsidR="007C4C5C" w:rsidRPr="00086E9D" w:rsidRDefault="007C4C5C" w:rsidP="007C4C5C">
      <w:pPr>
        <w:widowControl/>
        <w:autoSpaceDE/>
        <w:autoSpaceDN/>
        <w:adjustRightInd/>
        <w:jc w:val="center"/>
        <w:rPr>
          <w:rFonts w:ascii="Arial" w:hAnsi="Arial" w:cs="Arial"/>
          <w:b/>
          <w:sz w:val="22"/>
          <w:szCs w:val="22"/>
        </w:rPr>
      </w:pPr>
      <w:r w:rsidRPr="00086E9D">
        <w:rPr>
          <w:rFonts w:ascii="Arial" w:hAnsi="Arial" w:cs="Arial"/>
          <w:b/>
          <w:sz w:val="22"/>
          <w:szCs w:val="22"/>
        </w:rPr>
        <w:t>REQUIREMENTS</w:t>
      </w:r>
    </w:p>
    <w:p w:rsidR="007C4C5C" w:rsidRPr="00086E9D" w:rsidRDefault="007C4C5C" w:rsidP="007C4C5C">
      <w:pPr>
        <w:widowControl/>
        <w:autoSpaceDE/>
        <w:autoSpaceDN/>
        <w:adjustRightInd/>
        <w:jc w:val="both"/>
        <w:rPr>
          <w:rFonts w:ascii="Arial" w:hAnsi="Arial" w:cs="Arial"/>
          <w:sz w:val="22"/>
          <w:szCs w:val="22"/>
        </w:rPr>
      </w:pPr>
    </w:p>
    <w:p w:rsidR="007C4C5C" w:rsidRPr="00086E9D" w:rsidRDefault="007C4C5C" w:rsidP="007C4C5C">
      <w:pPr>
        <w:widowControl/>
        <w:autoSpaceDE/>
        <w:autoSpaceDN/>
        <w:adjustRightInd/>
        <w:jc w:val="both"/>
        <w:rPr>
          <w:rFonts w:ascii="Arial" w:hAnsi="Arial" w:cs="Arial"/>
          <w:sz w:val="22"/>
          <w:szCs w:val="22"/>
        </w:rPr>
      </w:pPr>
      <w:r w:rsidRPr="00086E9D">
        <w:rPr>
          <w:rFonts w:ascii="Arial" w:hAnsi="Arial" w:cs="Arial"/>
          <w:b/>
          <w:sz w:val="22"/>
          <w:szCs w:val="22"/>
        </w:rPr>
        <w:t>714.02.01</w:t>
      </w:r>
      <w:r w:rsidRPr="00086E9D">
        <w:rPr>
          <w:rFonts w:ascii="Arial" w:hAnsi="Arial" w:cs="Arial"/>
          <w:b/>
          <w:sz w:val="22"/>
          <w:szCs w:val="22"/>
        </w:rPr>
        <w:tab/>
        <w:t>CERTIFICATIONS</w:t>
      </w:r>
    </w:p>
    <w:p w:rsidR="007C4C5C" w:rsidRPr="00086E9D" w:rsidRDefault="007C4C5C" w:rsidP="007C4C5C">
      <w:pPr>
        <w:widowControl/>
        <w:autoSpaceDE/>
        <w:autoSpaceDN/>
        <w:adjustRightInd/>
        <w:jc w:val="both"/>
        <w:rPr>
          <w:rFonts w:ascii="Arial" w:hAnsi="Arial" w:cs="Arial"/>
          <w:sz w:val="22"/>
          <w:szCs w:val="22"/>
        </w:rPr>
      </w:pPr>
    </w:p>
    <w:p w:rsidR="007C4C5C" w:rsidRPr="00086E9D" w:rsidRDefault="007C4C5C" w:rsidP="007C4C5C">
      <w:pPr>
        <w:widowControl/>
        <w:autoSpaceDE/>
        <w:autoSpaceDN/>
        <w:adjustRightInd/>
        <w:jc w:val="both"/>
        <w:rPr>
          <w:rFonts w:ascii="Arial" w:hAnsi="Arial" w:cs="Arial"/>
          <w:b/>
          <w:i/>
          <w:caps/>
          <w:sz w:val="22"/>
          <w:szCs w:val="22"/>
        </w:rPr>
      </w:pPr>
      <w:r w:rsidRPr="00086E9D">
        <w:rPr>
          <w:rFonts w:ascii="Arial" w:hAnsi="Arial" w:cs="Arial"/>
          <w:b/>
          <w:i/>
          <w:caps/>
          <w:sz w:val="22"/>
          <w:szCs w:val="22"/>
        </w:rPr>
        <w:t>DELETE PARAGRAPH “C” OF THIS SUBSECTION AND REPLACE WITH THE FOLLOWING:</w:t>
      </w:r>
    </w:p>
    <w:p w:rsidR="007C4C5C" w:rsidRPr="00086E9D" w:rsidRDefault="007C4C5C" w:rsidP="007C4C5C">
      <w:pPr>
        <w:widowControl/>
        <w:autoSpaceDE/>
        <w:autoSpaceDN/>
        <w:adjustRightInd/>
        <w:jc w:val="both"/>
        <w:rPr>
          <w:rFonts w:ascii="Arial" w:hAnsi="Arial" w:cs="Arial"/>
          <w:sz w:val="22"/>
          <w:szCs w:val="22"/>
        </w:rPr>
      </w:pPr>
    </w:p>
    <w:p w:rsidR="007C4C5C" w:rsidRPr="000A07DD" w:rsidRDefault="007C4C5C" w:rsidP="007C4C5C">
      <w:pPr>
        <w:pStyle w:val="ListParagraph"/>
        <w:numPr>
          <w:ilvl w:val="0"/>
          <w:numId w:val="3"/>
        </w:numPr>
        <w:jc w:val="both"/>
        <w:rPr>
          <w:rFonts w:ascii="Arial" w:hAnsi="Arial" w:cs="Arial"/>
          <w:sz w:val="22"/>
          <w:szCs w:val="22"/>
        </w:rPr>
      </w:pPr>
      <w:r w:rsidRPr="000A07DD">
        <w:rPr>
          <w:rFonts w:ascii="Arial" w:hAnsi="Arial" w:cs="Arial"/>
          <w:sz w:val="22"/>
          <w:szCs w:val="22"/>
        </w:rPr>
        <w:t>Manufacturer’s lab test results must be supplied upon request of the Engineer.  No pavement marking material shall be used which is not on the Qualified Products List established by the Nevada Department of Transportation.</w:t>
      </w:r>
    </w:p>
    <w:p w:rsidR="007C4C5C" w:rsidRDefault="007C4C5C" w:rsidP="007C4C5C">
      <w:pPr>
        <w:jc w:val="both"/>
        <w:rPr>
          <w:rFonts w:ascii="Arial" w:hAnsi="Arial" w:cs="Arial"/>
          <w:sz w:val="22"/>
          <w:szCs w:val="22"/>
        </w:rPr>
      </w:pPr>
      <w:bookmarkStart w:id="0" w:name="_GoBack"/>
      <w:bookmarkEnd w:id="0"/>
    </w:p>
    <w:p w:rsidR="007C4C5C" w:rsidRPr="00F85E86" w:rsidRDefault="007C4C5C" w:rsidP="00F85E86">
      <w:pPr>
        <w:widowControl/>
        <w:autoSpaceDE/>
        <w:autoSpaceDN/>
        <w:adjustRightInd/>
        <w:jc w:val="both"/>
        <w:rPr>
          <w:rFonts w:ascii="Arial" w:hAnsi="Arial" w:cs="Arial"/>
          <w:b/>
          <w:i/>
          <w:caps/>
          <w:sz w:val="22"/>
          <w:szCs w:val="22"/>
        </w:rPr>
      </w:pPr>
      <w:r w:rsidRPr="00F85E86">
        <w:rPr>
          <w:rFonts w:ascii="Arial" w:hAnsi="Arial" w:cs="Arial"/>
          <w:b/>
          <w:i/>
          <w:caps/>
          <w:sz w:val="22"/>
          <w:szCs w:val="22"/>
        </w:rPr>
        <w:t xml:space="preserve">ADD THE FOLLOWING SUBSECTION: </w:t>
      </w:r>
    </w:p>
    <w:p w:rsidR="007C4C5C" w:rsidRDefault="007C4C5C" w:rsidP="007C4C5C">
      <w:pPr>
        <w:jc w:val="both"/>
        <w:rPr>
          <w:rFonts w:ascii="Arial" w:hAnsi="Arial" w:cs="Arial"/>
          <w:sz w:val="22"/>
          <w:szCs w:val="22"/>
        </w:rPr>
      </w:pPr>
    </w:p>
    <w:p w:rsidR="007C4C5C" w:rsidRPr="00F85E86" w:rsidRDefault="007C4C5C" w:rsidP="00F85E86">
      <w:pPr>
        <w:widowControl/>
        <w:autoSpaceDE/>
        <w:autoSpaceDN/>
        <w:adjustRightInd/>
        <w:jc w:val="both"/>
        <w:rPr>
          <w:rFonts w:ascii="Arial" w:hAnsi="Arial" w:cs="Arial"/>
          <w:b/>
          <w:sz w:val="22"/>
          <w:szCs w:val="22"/>
        </w:rPr>
      </w:pPr>
      <w:r w:rsidRPr="009576A1">
        <w:rPr>
          <w:rFonts w:ascii="Arial" w:hAnsi="Arial" w:cs="Arial"/>
          <w:b/>
          <w:sz w:val="22"/>
          <w:szCs w:val="22"/>
        </w:rPr>
        <w:t>714.03.15</w:t>
      </w:r>
      <w:r>
        <w:rPr>
          <w:rFonts w:ascii="Arial" w:hAnsi="Arial" w:cs="Arial"/>
          <w:b/>
          <w:sz w:val="22"/>
          <w:szCs w:val="22"/>
        </w:rPr>
        <w:t xml:space="preserve"> </w:t>
      </w:r>
      <w:r w:rsidRPr="009576A1">
        <w:rPr>
          <w:rFonts w:ascii="Arial" w:hAnsi="Arial" w:cs="Arial"/>
          <w:b/>
          <w:sz w:val="22"/>
          <w:szCs w:val="22"/>
        </w:rPr>
        <w:t>P</w:t>
      </w:r>
      <w:r>
        <w:rPr>
          <w:rFonts w:ascii="Arial" w:hAnsi="Arial" w:cs="Arial"/>
          <w:b/>
          <w:sz w:val="22"/>
          <w:szCs w:val="22"/>
        </w:rPr>
        <w:t>REFORMED</w:t>
      </w:r>
      <w:r w:rsidRPr="009576A1">
        <w:rPr>
          <w:rFonts w:ascii="Arial" w:hAnsi="Arial" w:cs="Arial"/>
          <w:b/>
          <w:sz w:val="22"/>
          <w:szCs w:val="22"/>
        </w:rPr>
        <w:t xml:space="preserve"> T</w:t>
      </w:r>
      <w:r>
        <w:rPr>
          <w:rFonts w:ascii="Arial" w:hAnsi="Arial" w:cs="Arial"/>
          <w:b/>
          <w:sz w:val="22"/>
          <w:szCs w:val="22"/>
        </w:rPr>
        <w:t>HERMOPLASTIC</w:t>
      </w:r>
      <w:r w:rsidRPr="009576A1">
        <w:rPr>
          <w:rFonts w:ascii="Arial" w:hAnsi="Arial" w:cs="Arial"/>
          <w:b/>
          <w:sz w:val="22"/>
          <w:szCs w:val="22"/>
        </w:rPr>
        <w:t xml:space="preserve"> P</w:t>
      </w:r>
      <w:r>
        <w:rPr>
          <w:rFonts w:ascii="Arial" w:hAnsi="Arial" w:cs="Arial"/>
          <w:b/>
          <w:sz w:val="22"/>
          <w:szCs w:val="22"/>
        </w:rPr>
        <w:t>AVEMENT</w:t>
      </w:r>
      <w:r w:rsidRPr="009576A1">
        <w:rPr>
          <w:rFonts w:ascii="Arial" w:hAnsi="Arial" w:cs="Arial"/>
          <w:b/>
          <w:sz w:val="22"/>
          <w:szCs w:val="22"/>
        </w:rPr>
        <w:t xml:space="preserve"> M</w:t>
      </w:r>
      <w:r>
        <w:rPr>
          <w:rFonts w:ascii="Arial" w:hAnsi="Arial" w:cs="Arial"/>
          <w:b/>
          <w:sz w:val="22"/>
          <w:szCs w:val="22"/>
        </w:rPr>
        <w:t>ARKINGS</w:t>
      </w:r>
    </w:p>
    <w:p w:rsidR="007C4C5C" w:rsidRDefault="007C4C5C" w:rsidP="007C4C5C">
      <w:pPr>
        <w:pStyle w:val="3-RTC"/>
        <w:numPr>
          <w:ilvl w:val="2"/>
          <w:numId w:val="2"/>
        </w:numPr>
      </w:pPr>
      <w:r>
        <w:t xml:space="preserve">A durable, high skid resistant, retroreflective pavement marking material suitable for use as interstate shields, route shields, bike path, roadway, intersection, airport, commercial or private pavement delineation and markings. </w:t>
      </w:r>
    </w:p>
    <w:p w:rsidR="007C4C5C" w:rsidRDefault="007C4C5C" w:rsidP="007C4C5C">
      <w:pPr>
        <w:pStyle w:val="4-RTC"/>
        <w:numPr>
          <w:ilvl w:val="3"/>
          <w:numId w:val="2"/>
        </w:numPr>
      </w:pPr>
      <w:r>
        <w:t>The markings must be a resilient white, yellow or other color thermoplastic product, with uniformly distributed glass beads throughout the entire cross sectional area. The markings must be resistant to the detrimental effects of motor fuel, lubricants, hydraulic fluids etc. Lines, legends and symbols are capable of being affixed to bituminous and/or Portland cement concrete pavements by the use of the normal heat of a propane torch.</w:t>
      </w:r>
    </w:p>
    <w:p w:rsidR="007C4C5C" w:rsidRDefault="007C4C5C" w:rsidP="007C4C5C">
      <w:pPr>
        <w:pStyle w:val="4-RTC"/>
        <w:numPr>
          <w:ilvl w:val="3"/>
          <w:numId w:val="2"/>
        </w:numPr>
      </w:pPr>
      <w:r>
        <w:t>The markings must be capable of conforming to pavement contours, breaks and faults through the action of traffic at normal pavement temperatures. The markings shall have resealing characteristics, such that is capable of fusing with itself and previously applied thermoplastic when heated with the torch.</w:t>
      </w:r>
    </w:p>
    <w:p w:rsidR="007C4C5C" w:rsidRDefault="007C4C5C" w:rsidP="007C4C5C">
      <w:pPr>
        <w:pStyle w:val="4-RTC"/>
        <w:numPr>
          <w:ilvl w:val="3"/>
          <w:numId w:val="2"/>
        </w:numPr>
      </w:pPr>
      <w:r>
        <w:t>The markings shall not have a minimum ambient and road temperature requirements for application, storage, or handling.</w:t>
      </w:r>
    </w:p>
    <w:p w:rsidR="007C4C5C" w:rsidRDefault="007C4C5C" w:rsidP="007C4C5C">
      <w:pPr>
        <w:pStyle w:val="3-RTC"/>
        <w:numPr>
          <w:ilvl w:val="2"/>
          <w:numId w:val="2"/>
        </w:numPr>
      </w:pPr>
      <w:r>
        <w:t>Manufacturing Control and ISO Certification: The manufacturer must be ISO 9001:2008 certified and provide proof of current certification. The scope of the certification shall include manufacture of reflective highway markings.</w:t>
      </w:r>
    </w:p>
    <w:p w:rsidR="007C4C5C" w:rsidRDefault="007C4C5C" w:rsidP="007C4C5C">
      <w:pPr>
        <w:pStyle w:val="3-RTC"/>
        <w:numPr>
          <w:ilvl w:val="2"/>
          <w:numId w:val="2"/>
        </w:numPr>
      </w:pPr>
      <w:r>
        <w:t xml:space="preserve">Material: Must be composed of an ester modified rosin resistant to degradation by motor fuels, lubricants etc. in conjunction with aggregates, pigments, binders, abrasives, and glass beads which have been factory produced as a finished product, and meets the requirements of the current edition of the Manual on Uniform Traffic Control Devices for Streets and Highways. The thermoplastic material conforms to AASHTO designation M249, with the exception of the relevant differences due to the material being supplied in a preformed state. </w:t>
      </w:r>
    </w:p>
    <w:p w:rsidR="007C4C5C" w:rsidRDefault="007C4C5C" w:rsidP="007C4C5C">
      <w:pPr>
        <w:pStyle w:val="4-RTC"/>
        <w:numPr>
          <w:ilvl w:val="3"/>
          <w:numId w:val="2"/>
        </w:numPr>
      </w:pPr>
      <w:r>
        <w:t>Graded Glass Beads:</w:t>
      </w:r>
    </w:p>
    <w:p w:rsidR="007C4C5C" w:rsidRDefault="007C4C5C" w:rsidP="007C4C5C">
      <w:pPr>
        <w:pStyle w:val="5-RTC"/>
        <w:numPr>
          <w:ilvl w:val="4"/>
          <w:numId w:val="2"/>
        </w:numPr>
      </w:pPr>
      <w:r>
        <w:t xml:space="preserve">The material must contain a minimum of thirty percent (30%) intermixed graded glass beads by weight. The intermixed beads shall conform to </w:t>
      </w:r>
      <w:r>
        <w:lastRenderedPageBreak/>
        <w:t>AASHTO designation M247, with minimum 70% true spheres and the index of refraction shall not be less than 1.50.</w:t>
      </w:r>
    </w:p>
    <w:p w:rsidR="007C4C5C" w:rsidRDefault="007C4C5C" w:rsidP="007C4C5C">
      <w:pPr>
        <w:pStyle w:val="5-RTC"/>
        <w:numPr>
          <w:ilvl w:val="4"/>
          <w:numId w:val="2"/>
        </w:numPr>
      </w:pPr>
      <w:r>
        <w:t>The material must have factory applied coated surface beads and abrasives in addition to the intermixed beads at a rate of 1 lb. (</w:t>
      </w:r>
      <w:r>
        <w:rPr>
          <w:rFonts w:cs="Arial"/>
        </w:rPr>
        <w:t>±</w:t>
      </w:r>
      <w:r>
        <w:t xml:space="preserve"> 10%) per 10 sq. ft. These factory applied coated surface beads shall meet the following gradation:</w:t>
      </w:r>
    </w:p>
    <w:p w:rsidR="007C4C5C" w:rsidRDefault="007C4C5C" w:rsidP="007C4C5C">
      <w:pPr>
        <w:pStyle w:val="6-RTC"/>
        <w:tabs>
          <w:tab w:val="clear" w:pos="2304"/>
        </w:tabs>
        <w:ind w:firstLine="0"/>
      </w:pPr>
    </w:p>
    <w:tbl>
      <w:tblPr>
        <w:tblW w:w="0" w:type="auto"/>
        <w:tblInd w:w="2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1970"/>
        <w:gridCol w:w="1494"/>
        <w:gridCol w:w="1290"/>
      </w:tblGrid>
      <w:tr w:rsidR="007C4C5C" w:rsidTr="005F4FA5">
        <w:tc>
          <w:tcPr>
            <w:tcW w:w="3186" w:type="dxa"/>
            <w:gridSpan w:val="2"/>
            <w:shd w:val="clear" w:color="auto" w:fill="auto"/>
          </w:tcPr>
          <w:p w:rsidR="007C4C5C" w:rsidRDefault="007C4C5C" w:rsidP="005F4FA5">
            <w:pPr>
              <w:pStyle w:val="6-RTC"/>
              <w:tabs>
                <w:tab w:val="clear" w:pos="2304"/>
              </w:tabs>
              <w:ind w:left="0" w:firstLine="0"/>
              <w:jc w:val="center"/>
            </w:pPr>
            <w:r>
              <w:t>Size Gradation</w:t>
            </w:r>
          </w:p>
        </w:tc>
        <w:tc>
          <w:tcPr>
            <w:tcW w:w="1494" w:type="dxa"/>
            <w:vMerge w:val="restart"/>
            <w:shd w:val="clear" w:color="auto" w:fill="auto"/>
          </w:tcPr>
          <w:p w:rsidR="007C4C5C" w:rsidRDefault="007C4C5C" w:rsidP="005F4FA5">
            <w:pPr>
              <w:pStyle w:val="6-RTC"/>
              <w:tabs>
                <w:tab w:val="clear" w:pos="2304"/>
              </w:tabs>
              <w:ind w:left="0" w:firstLine="0"/>
              <w:jc w:val="center"/>
            </w:pPr>
            <w:r>
              <w:t>Retained %</w:t>
            </w:r>
          </w:p>
        </w:tc>
        <w:tc>
          <w:tcPr>
            <w:tcW w:w="1290" w:type="dxa"/>
            <w:vMerge w:val="restart"/>
            <w:shd w:val="clear" w:color="auto" w:fill="auto"/>
          </w:tcPr>
          <w:p w:rsidR="007C4C5C" w:rsidRDefault="007C4C5C" w:rsidP="005F4FA5">
            <w:pPr>
              <w:pStyle w:val="6-RTC"/>
              <w:tabs>
                <w:tab w:val="clear" w:pos="2304"/>
              </w:tabs>
              <w:ind w:left="0" w:firstLine="0"/>
              <w:jc w:val="center"/>
            </w:pPr>
            <w:r>
              <w:t>Passing %</w:t>
            </w:r>
          </w:p>
        </w:tc>
      </w:tr>
      <w:tr w:rsidR="007C4C5C" w:rsidTr="005F4FA5">
        <w:trPr>
          <w:trHeight w:val="440"/>
        </w:trPr>
        <w:tc>
          <w:tcPr>
            <w:tcW w:w="1216" w:type="dxa"/>
            <w:shd w:val="clear" w:color="auto" w:fill="auto"/>
          </w:tcPr>
          <w:p w:rsidR="007C4C5C" w:rsidRDefault="007C4C5C" w:rsidP="005F4FA5">
            <w:pPr>
              <w:pStyle w:val="6-RTC"/>
              <w:tabs>
                <w:tab w:val="clear" w:pos="2304"/>
              </w:tabs>
              <w:ind w:left="0" w:firstLine="0"/>
              <w:jc w:val="center"/>
            </w:pPr>
            <w:r>
              <w:t>US Mesh</w:t>
            </w:r>
          </w:p>
        </w:tc>
        <w:tc>
          <w:tcPr>
            <w:tcW w:w="1970" w:type="dxa"/>
            <w:shd w:val="clear" w:color="auto" w:fill="auto"/>
          </w:tcPr>
          <w:p w:rsidR="007C4C5C" w:rsidRDefault="007C4C5C" w:rsidP="005F4FA5">
            <w:pPr>
              <w:pStyle w:val="6-RTC"/>
              <w:tabs>
                <w:tab w:val="clear" w:pos="2304"/>
              </w:tabs>
              <w:ind w:left="0" w:firstLine="0"/>
              <w:jc w:val="center"/>
            </w:pPr>
            <w:r>
              <w:t>Um</w:t>
            </w:r>
          </w:p>
        </w:tc>
        <w:tc>
          <w:tcPr>
            <w:tcW w:w="1494" w:type="dxa"/>
            <w:vMerge/>
            <w:shd w:val="clear" w:color="auto" w:fill="auto"/>
          </w:tcPr>
          <w:p w:rsidR="007C4C5C" w:rsidRDefault="007C4C5C" w:rsidP="005F4FA5">
            <w:pPr>
              <w:pStyle w:val="6-RTC"/>
              <w:tabs>
                <w:tab w:val="clear" w:pos="2304"/>
              </w:tabs>
              <w:ind w:left="0" w:firstLine="0"/>
              <w:jc w:val="center"/>
            </w:pPr>
          </w:p>
        </w:tc>
        <w:tc>
          <w:tcPr>
            <w:tcW w:w="1290" w:type="dxa"/>
            <w:vMerge/>
            <w:shd w:val="clear" w:color="auto" w:fill="auto"/>
          </w:tcPr>
          <w:p w:rsidR="007C4C5C" w:rsidRDefault="007C4C5C" w:rsidP="005F4FA5">
            <w:pPr>
              <w:pStyle w:val="6-RTC"/>
              <w:tabs>
                <w:tab w:val="clear" w:pos="2304"/>
              </w:tabs>
              <w:ind w:left="0" w:firstLine="0"/>
              <w:jc w:val="center"/>
            </w:pPr>
          </w:p>
        </w:tc>
      </w:tr>
      <w:tr w:rsidR="007C4C5C" w:rsidTr="005F4FA5">
        <w:tc>
          <w:tcPr>
            <w:tcW w:w="1216" w:type="dxa"/>
            <w:shd w:val="clear" w:color="auto" w:fill="auto"/>
          </w:tcPr>
          <w:p w:rsidR="007C4C5C" w:rsidRDefault="007C4C5C" w:rsidP="005F4FA5">
            <w:pPr>
              <w:pStyle w:val="6-RTC"/>
              <w:tabs>
                <w:tab w:val="clear" w:pos="2304"/>
              </w:tabs>
              <w:ind w:left="0" w:firstLine="0"/>
              <w:jc w:val="center"/>
            </w:pPr>
            <w:r>
              <w:t>12</w:t>
            </w:r>
          </w:p>
        </w:tc>
        <w:tc>
          <w:tcPr>
            <w:tcW w:w="1970" w:type="dxa"/>
            <w:shd w:val="clear" w:color="auto" w:fill="auto"/>
          </w:tcPr>
          <w:p w:rsidR="007C4C5C" w:rsidRDefault="007C4C5C" w:rsidP="005F4FA5">
            <w:pPr>
              <w:pStyle w:val="6-RTC"/>
              <w:tabs>
                <w:tab w:val="clear" w:pos="2304"/>
              </w:tabs>
              <w:ind w:left="0" w:firstLine="0"/>
              <w:jc w:val="center"/>
            </w:pPr>
            <w:r>
              <w:t>1700</w:t>
            </w:r>
          </w:p>
        </w:tc>
        <w:tc>
          <w:tcPr>
            <w:tcW w:w="1494" w:type="dxa"/>
            <w:shd w:val="clear" w:color="auto" w:fill="auto"/>
          </w:tcPr>
          <w:p w:rsidR="007C4C5C" w:rsidRDefault="007C4C5C" w:rsidP="005F4FA5">
            <w:pPr>
              <w:pStyle w:val="6-RTC"/>
              <w:tabs>
                <w:tab w:val="clear" w:pos="2304"/>
              </w:tabs>
              <w:ind w:left="0" w:firstLine="0"/>
              <w:jc w:val="center"/>
            </w:pPr>
            <w:r>
              <w:t>0-2%</w:t>
            </w:r>
          </w:p>
        </w:tc>
        <w:tc>
          <w:tcPr>
            <w:tcW w:w="1290" w:type="dxa"/>
            <w:shd w:val="clear" w:color="auto" w:fill="auto"/>
          </w:tcPr>
          <w:p w:rsidR="007C4C5C" w:rsidRDefault="007C4C5C" w:rsidP="005F4FA5">
            <w:pPr>
              <w:pStyle w:val="6-RTC"/>
              <w:tabs>
                <w:tab w:val="clear" w:pos="2304"/>
              </w:tabs>
              <w:ind w:left="0" w:firstLine="0"/>
              <w:jc w:val="center"/>
            </w:pPr>
            <w:r>
              <w:t>98-100%</w:t>
            </w:r>
          </w:p>
        </w:tc>
      </w:tr>
      <w:tr w:rsidR="007C4C5C" w:rsidTr="005F4FA5">
        <w:tc>
          <w:tcPr>
            <w:tcW w:w="1216" w:type="dxa"/>
            <w:shd w:val="clear" w:color="auto" w:fill="auto"/>
          </w:tcPr>
          <w:p w:rsidR="007C4C5C" w:rsidRDefault="007C4C5C" w:rsidP="005F4FA5">
            <w:pPr>
              <w:pStyle w:val="6-RTC"/>
              <w:tabs>
                <w:tab w:val="clear" w:pos="2304"/>
              </w:tabs>
              <w:ind w:left="0" w:firstLine="0"/>
              <w:jc w:val="center"/>
            </w:pPr>
            <w:r>
              <w:t>14</w:t>
            </w:r>
          </w:p>
        </w:tc>
        <w:tc>
          <w:tcPr>
            <w:tcW w:w="1970" w:type="dxa"/>
            <w:shd w:val="clear" w:color="auto" w:fill="auto"/>
          </w:tcPr>
          <w:p w:rsidR="007C4C5C" w:rsidRDefault="007C4C5C" w:rsidP="005F4FA5">
            <w:pPr>
              <w:pStyle w:val="6-RTC"/>
              <w:tabs>
                <w:tab w:val="clear" w:pos="2304"/>
              </w:tabs>
              <w:ind w:left="0" w:firstLine="0"/>
              <w:jc w:val="center"/>
            </w:pPr>
            <w:r>
              <w:t>1400</w:t>
            </w:r>
          </w:p>
        </w:tc>
        <w:tc>
          <w:tcPr>
            <w:tcW w:w="1494" w:type="dxa"/>
            <w:shd w:val="clear" w:color="auto" w:fill="auto"/>
          </w:tcPr>
          <w:p w:rsidR="007C4C5C" w:rsidRDefault="007C4C5C" w:rsidP="005F4FA5">
            <w:pPr>
              <w:pStyle w:val="6-RTC"/>
              <w:tabs>
                <w:tab w:val="clear" w:pos="2304"/>
              </w:tabs>
              <w:ind w:left="0" w:firstLine="0"/>
              <w:jc w:val="center"/>
            </w:pPr>
            <w:r>
              <w:t>0-6%</w:t>
            </w:r>
          </w:p>
        </w:tc>
        <w:tc>
          <w:tcPr>
            <w:tcW w:w="1290" w:type="dxa"/>
            <w:shd w:val="clear" w:color="auto" w:fill="auto"/>
          </w:tcPr>
          <w:p w:rsidR="007C4C5C" w:rsidRDefault="007C4C5C" w:rsidP="005F4FA5">
            <w:pPr>
              <w:pStyle w:val="6-RTC"/>
              <w:tabs>
                <w:tab w:val="clear" w:pos="2304"/>
              </w:tabs>
              <w:ind w:left="0" w:firstLine="0"/>
              <w:jc w:val="center"/>
            </w:pPr>
            <w:r>
              <w:t>94-100%</w:t>
            </w:r>
          </w:p>
        </w:tc>
      </w:tr>
      <w:tr w:rsidR="007C4C5C" w:rsidTr="005F4FA5">
        <w:tc>
          <w:tcPr>
            <w:tcW w:w="1216" w:type="dxa"/>
            <w:shd w:val="clear" w:color="auto" w:fill="auto"/>
          </w:tcPr>
          <w:p w:rsidR="007C4C5C" w:rsidRDefault="007C4C5C" w:rsidP="005F4FA5">
            <w:pPr>
              <w:pStyle w:val="6-RTC"/>
              <w:tabs>
                <w:tab w:val="clear" w:pos="2304"/>
              </w:tabs>
              <w:ind w:left="0" w:firstLine="0"/>
              <w:jc w:val="center"/>
            </w:pPr>
            <w:r>
              <w:t>16</w:t>
            </w:r>
          </w:p>
        </w:tc>
        <w:tc>
          <w:tcPr>
            <w:tcW w:w="1970" w:type="dxa"/>
            <w:shd w:val="clear" w:color="auto" w:fill="auto"/>
          </w:tcPr>
          <w:p w:rsidR="007C4C5C" w:rsidRDefault="007C4C5C" w:rsidP="005F4FA5">
            <w:pPr>
              <w:pStyle w:val="6-RTC"/>
              <w:tabs>
                <w:tab w:val="clear" w:pos="2304"/>
              </w:tabs>
              <w:ind w:left="0" w:firstLine="0"/>
              <w:jc w:val="center"/>
            </w:pPr>
            <w:r>
              <w:t>1180</w:t>
            </w:r>
          </w:p>
        </w:tc>
        <w:tc>
          <w:tcPr>
            <w:tcW w:w="1494" w:type="dxa"/>
            <w:shd w:val="clear" w:color="auto" w:fill="auto"/>
          </w:tcPr>
          <w:p w:rsidR="007C4C5C" w:rsidRDefault="007C4C5C" w:rsidP="005F4FA5">
            <w:pPr>
              <w:pStyle w:val="6-RTC"/>
              <w:tabs>
                <w:tab w:val="clear" w:pos="2304"/>
              </w:tabs>
              <w:ind w:left="0" w:firstLine="0"/>
              <w:jc w:val="center"/>
            </w:pPr>
            <w:r>
              <w:t>2-25%</w:t>
            </w:r>
          </w:p>
        </w:tc>
        <w:tc>
          <w:tcPr>
            <w:tcW w:w="1290" w:type="dxa"/>
            <w:shd w:val="clear" w:color="auto" w:fill="auto"/>
          </w:tcPr>
          <w:p w:rsidR="007C4C5C" w:rsidRDefault="007C4C5C" w:rsidP="005F4FA5">
            <w:pPr>
              <w:pStyle w:val="6-RTC"/>
              <w:tabs>
                <w:tab w:val="clear" w:pos="2304"/>
              </w:tabs>
              <w:ind w:left="0" w:firstLine="0"/>
              <w:jc w:val="center"/>
            </w:pPr>
            <w:r>
              <w:t>75-98%</w:t>
            </w:r>
          </w:p>
        </w:tc>
      </w:tr>
      <w:tr w:rsidR="007C4C5C" w:rsidTr="005F4FA5">
        <w:tc>
          <w:tcPr>
            <w:tcW w:w="1216" w:type="dxa"/>
            <w:shd w:val="clear" w:color="auto" w:fill="auto"/>
          </w:tcPr>
          <w:p w:rsidR="007C4C5C" w:rsidRDefault="007C4C5C" w:rsidP="005F4FA5">
            <w:pPr>
              <w:pStyle w:val="6-RTC"/>
              <w:tabs>
                <w:tab w:val="clear" w:pos="2304"/>
              </w:tabs>
              <w:ind w:left="0" w:firstLine="0"/>
              <w:jc w:val="center"/>
            </w:pPr>
            <w:r>
              <w:t>18</w:t>
            </w:r>
          </w:p>
        </w:tc>
        <w:tc>
          <w:tcPr>
            <w:tcW w:w="1970" w:type="dxa"/>
            <w:shd w:val="clear" w:color="auto" w:fill="auto"/>
          </w:tcPr>
          <w:p w:rsidR="007C4C5C" w:rsidRDefault="007C4C5C" w:rsidP="005F4FA5">
            <w:pPr>
              <w:pStyle w:val="6-RTC"/>
              <w:tabs>
                <w:tab w:val="clear" w:pos="2304"/>
              </w:tabs>
              <w:ind w:left="0" w:firstLine="0"/>
              <w:jc w:val="center"/>
            </w:pPr>
            <w:r>
              <w:t>1000</w:t>
            </w:r>
          </w:p>
        </w:tc>
        <w:tc>
          <w:tcPr>
            <w:tcW w:w="1494" w:type="dxa"/>
            <w:shd w:val="clear" w:color="auto" w:fill="auto"/>
          </w:tcPr>
          <w:p w:rsidR="007C4C5C" w:rsidRDefault="007C4C5C" w:rsidP="005F4FA5">
            <w:pPr>
              <w:pStyle w:val="6-RTC"/>
              <w:tabs>
                <w:tab w:val="clear" w:pos="2304"/>
              </w:tabs>
              <w:ind w:left="0" w:firstLine="0"/>
              <w:jc w:val="center"/>
            </w:pPr>
            <w:r>
              <w:t>28-63%</w:t>
            </w:r>
          </w:p>
        </w:tc>
        <w:tc>
          <w:tcPr>
            <w:tcW w:w="1290" w:type="dxa"/>
            <w:shd w:val="clear" w:color="auto" w:fill="auto"/>
          </w:tcPr>
          <w:p w:rsidR="007C4C5C" w:rsidRDefault="007C4C5C" w:rsidP="005F4FA5">
            <w:pPr>
              <w:pStyle w:val="6-RTC"/>
              <w:tabs>
                <w:tab w:val="clear" w:pos="2304"/>
              </w:tabs>
              <w:ind w:left="0" w:firstLine="0"/>
              <w:jc w:val="center"/>
            </w:pPr>
            <w:r>
              <w:t>37-72%</w:t>
            </w:r>
          </w:p>
        </w:tc>
      </w:tr>
      <w:tr w:rsidR="007C4C5C" w:rsidTr="005F4FA5">
        <w:tc>
          <w:tcPr>
            <w:tcW w:w="1216" w:type="dxa"/>
            <w:shd w:val="clear" w:color="auto" w:fill="auto"/>
          </w:tcPr>
          <w:p w:rsidR="007C4C5C" w:rsidRDefault="007C4C5C" w:rsidP="005F4FA5">
            <w:pPr>
              <w:pStyle w:val="6-RTC"/>
              <w:tabs>
                <w:tab w:val="clear" w:pos="2304"/>
              </w:tabs>
              <w:ind w:left="0" w:firstLine="0"/>
              <w:jc w:val="center"/>
            </w:pPr>
            <w:r>
              <w:t>20</w:t>
            </w:r>
          </w:p>
        </w:tc>
        <w:tc>
          <w:tcPr>
            <w:tcW w:w="1970" w:type="dxa"/>
            <w:shd w:val="clear" w:color="auto" w:fill="auto"/>
          </w:tcPr>
          <w:p w:rsidR="007C4C5C" w:rsidRDefault="007C4C5C" w:rsidP="005F4FA5">
            <w:pPr>
              <w:pStyle w:val="6-RTC"/>
              <w:tabs>
                <w:tab w:val="clear" w:pos="2304"/>
              </w:tabs>
              <w:ind w:left="0" w:firstLine="0"/>
              <w:jc w:val="center"/>
            </w:pPr>
            <w:r>
              <w:t>850</w:t>
            </w:r>
          </w:p>
        </w:tc>
        <w:tc>
          <w:tcPr>
            <w:tcW w:w="1494" w:type="dxa"/>
            <w:shd w:val="clear" w:color="auto" w:fill="auto"/>
          </w:tcPr>
          <w:p w:rsidR="007C4C5C" w:rsidRDefault="007C4C5C" w:rsidP="005F4FA5">
            <w:pPr>
              <w:pStyle w:val="6-RTC"/>
              <w:tabs>
                <w:tab w:val="clear" w:pos="2304"/>
              </w:tabs>
              <w:ind w:left="0" w:firstLine="0"/>
              <w:jc w:val="center"/>
            </w:pPr>
            <w:r>
              <w:t>63-72%</w:t>
            </w:r>
          </w:p>
        </w:tc>
        <w:tc>
          <w:tcPr>
            <w:tcW w:w="1290" w:type="dxa"/>
            <w:shd w:val="clear" w:color="auto" w:fill="auto"/>
          </w:tcPr>
          <w:p w:rsidR="007C4C5C" w:rsidRDefault="007C4C5C" w:rsidP="005F4FA5">
            <w:pPr>
              <w:pStyle w:val="6-RTC"/>
              <w:tabs>
                <w:tab w:val="clear" w:pos="2304"/>
              </w:tabs>
              <w:ind w:left="0" w:firstLine="0"/>
              <w:jc w:val="center"/>
            </w:pPr>
            <w:r>
              <w:t>28-37%</w:t>
            </w:r>
          </w:p>
        </w:tc>
      </w:tr>
      <w:tr w:rsidR="007C4C5C" w:rsidTr="005F4FA5">
        <w:tc>
          <w:tcPr>
            <w:tcW w:w="1216" w:type="dxa"/>
            <w:shd w:val="clear" w:color="auto" w:fill="auto"/>
          </w:tcPr>
          <w:p w:rsidR="007C4C5C" w:rsidRDefault="007C4C5C" w:rsidP="005F4FA5">
            <w:pPr>
              <w:pStyle w:val="6-RTC"/>
              <w:tabs>
                <w:tab w:val="clear" w:pos="2304"/>
              </w:tabs>
              <w:ind w:left="0" w:firstLine="0"/>
              <w:jc w:val="center"/>
            </w:pPr>
            <w:r>
              <w:t>30</w:t>
            </w:r>
          </w:p>
        </w:tc>
        <w:tc>
          <w:tcPr>
            <w:tcW w:w="1970" w:type="dxa"/>
            <w:shd w:val="clear" w:color="auto" w:fill="auto"/>
          </w:tcPr>
          <w:p w:rsidR="007C4C5C" w:rsidRDefault="007C4C5C" w:rsidP="005F4FA5">
            <w:pPr>
              <w:pStyle w:val="6-RTC"/>
              <w:tabs>
                <w:tab w:val="clear" w:pos="2304"/>
              </w:tabs>
              <w:ind w:left="0" w:firstLine="0"/>
              <w:jc w:val="center"/>
            </w:pPr>
            <w:r>
              <w:t>600</w:t>
            </w:r>
          </w:p>
        </w:tc>
        <w:tc>
          <w:tcPr>
            <w:tcW w:w="1494" w:type="dxa"/>
            <w:shd w:val="clear" w:color="auto" w:fill="auto"/>
          </w:tcPr>
          <w:p w:rsidR="007C4C5C" w:rsidRDefault="007C4C5C" w:rsidP="005F4FA5">
            <w:pPr>
              <w:pStyle w:val="6-RTC"/>
              <w:tabs>
                <w:tab w:val="clear" w:pos="2304"/>
              </w:tabs>
              <w:ind w:left="0" w:firstLine="0"/>
              <w:jc w:val="center"/>
            </w:pPr>
            <w:r>
              <w:t>67-77%</w:t>
            </w:r>
          </w:p>
        </w:tc>
        <w:tc>
          <w:tcPr>
            <w:tcW w:w="1290" w:type="dxa"/>
            <w:shd w:val="clear" w:color="auto" w:fill="auto"/>
          </w:tcPr>
          <w:p w:rsidR="007C4C5C" w:rsidRDefault="007C4C5C" w:rsidP="005F4FA5">
            <w:pPr>
              <w:pStyle w:val="6-RTC"/>
              <w:tabs>
                <w:tab w:val="clear" w:pos="2304"/>
              </w:tabs>
              <w:ind w:left="0" w:firstLine="0"/>
              <w:jc w:val="center"/>
            </w:pPr>
            <w:r>
              <w:t>23-33%</w:t>
            </w:r>
          </w:p>
        </w:tc>
      </w:tr>
      <w:tr w:rsidR="007C4C5C" w:rsidTr="005F4FA5">
        <w:tc>
          <w:tcPr>
            <w:tcW w:w="1216" w:type="dxa"/>
            <w:shd w:val="clear" w:color="auto" w:fill="auto"/>
          </w:tcPr>
          <w:p w:rsidR="007C4C5C" w:rsidRDefault="007C4C5C" w:rsidP="005F4FA5">
            <w:pPr>
              <w:pStyle w:val="6-RTC"/>
              <w:tabs>
                <w:tab w:val="clear" w:pos="2304"/>
              </w:tabs>
              <w:ind w:left="0" w:firstLine="0"/>
              <w:jc w:val="center"/>
            </w:pPr>
            <w:r>
              <w:t>50</w:t>
            </w:r>
          </w:p>
        </w:tc>
        <w:tc>
          <w:tcPr>
            <w:tcW w:w="1970" w:type="dxa"/>
            <w:shd w:val="clear" w:color="auto" w:fill="auto"/>
          </w:tcPr>
          <w:p w:rsidR="007C4C5C" w:rsidRDefault="007C4C5C" w:rsidP="005F4FA5">
            <w:pPr>
              <w:pStyle w:val="6-RTC"/>
              <w:tabs>
                <w:tab w:val="clear" w:pos="2304"/>
              </w:tabs>
              <w:ind w:left="0" w:firstLine="0"/>
              <w:jc w:val="center"/>
            </w:pPr>
            <w:r>
              <w:t>300</w:t>
            </w:r>
          </w:p>
        </w:tc>
        <w:tc>
          <w:tcPr>
            <w:tcW w:w="1494" w:type="dxa"/>
            <w:shd w:val="clear" w:color="auto" w:fill="auto"/>
          </w:tcPr>
          <w:p w:rsidR="007C4C5C" w:rsidRDefault="007C4C5C" w:rsidP="005F4FA5">
            <w:pPr>
              <w:pStyle w:val="6-RTC"/>
              <w:tabs>
                <w:tab w:val="clear" w:pos="2304"/>
              </w:tabs>
              <w:ind w:left="0" w:firstLine="0"/>
              <w:jc w:val="center"/>
            </w:pPr>
            <w:r>
              <w:t>89-95%</w:t>
            </w:r>
          </w:p>
        </w:tc>
        <w:tc>
          <w:tcPr>
            <w:tcW w:w="1290" w:type="dxa"/>
            <w:shd w:val="clear" w:color="auto" w:fill="auto"/>
          </w:tcPr>
          <w:p w:rsidR="007C4C5C" w:rsidRDefault="007C4C5C" w:rsidP="005F4FA5">
            <w:pPr>
              <w:pStyle w:val="6-RTC"/>
              <w:tabs>
                <w:tab w:val="clear" w:pos="2304"/>
              </w:tabs>
              <w:ind w:left="0" w:firstLine="0"/>
              <w:jc w:val="center"/>
            </w:pPr>
            <w:r>
              <w:t>5-11%</w:t>
            </w:r>
          </w:p>
        </w:tc>
      </w:tr>
      <w:tr w:rsidR="007C4C5C" w:rsidTr="005F4FA5">
        <w:tc>
          <w:tcPr>
            <w:tcW w:w="1216" w:type="dxa"/>
            <w:shd w:val="clear" w:color="auto" w:fill="auto"/>
          </w:tcPr>
          <w:p w:rsidR="007C4C5C" w:rsidRDefault="007C4C5C" w:rsidP="005F4FA5">
            <w:pPr>
              <w:pStyle w:val="6-RTC"/>
              <w:tabs>
                <w:tab w:val="clear" w:pos="2304"/>
              </w:tabs>
              <w:ind w:left="0" w:firstLine="0"/>
              <w:jc w:val="center"/>
            </w:pPr>
            <w:r>
              <w:t>80</w:t>
            </w:r>
          </w:p>
        </w:tc>
        <w:tc>
          <w:tcPr>
            <w:tcW w:w="1970" w:type="dxa"/>
            <w:shd w:val="clear" w:color="auto" w:fill="auto"/>
          </w:tcPr>
          <w:p w:rsidR="007C4C5C" w:rsidRDefault="007C4C5C" w:rsidP="005F4FA5">
            <w:pPr>
              <w:pStyle w:val="6-RTC"/>
              <w:tabs>
                <w:tab w:val="clear" w:pos="2304"/>
              </w:tabs>
              <w:ind w:left="0" w:firstLine="0"/>
              <w:jc w:val="center"/>
            </w:pPr>
            <w:r>
              <w:t>200</w:t>
            </w:r>
          </w:p>
        </w:tc>
        <w:tc>
          <w:tcPr>
            <w:tcW w:w="1494" w:type="dxa"/>
            <w:shd w:val="clear" w:color="auto" w:fill="auto"/>
          </w:tcPr>
          <w:p w:rsidR="007C4C5C" w:rsidRDefault="007C4C5C" w:rsidP="005F4FA5">
            <w:pPr>
              <w:pStyle w:val="6-RTC"/>
              <w:tabs>
                <w:tab w:val="clear" w:pos="2304"/>
              </w:tabs>
              <w:ind w:left="0" w:firstLine="0"/>
              <w:jc w:val="center"/>
            </w:pPr>
            <w:r>
              <w:t>97-100%</w:t>
            </w:r>
          </w:p>
        </w:tc>
        <w:tc>
          <w:tcPr>
            <w:tcW w:w="1290" w:type="dxa"/>
            <w:shd w:val="clear" w:color="auto" w:fill="auto"/>
          </w:tcPr>
          <w:p w:rsidR="007C4C5C" w:rsidRDefault="007C4C5C" w:rsidP="005F4FA5">
            <w:pPr>
              <w:pStyle w:val="6-RTC"/>
              <w:tabs>
                <w:tab w:val="clear" w:pos="2304"/>
              </w:tabs>
              <w:ind w:left="0" w:firstLine="0"/>
              <w:jc w:val="center"/>
            </w:pPr>
            <w:r>
              <w:t>0-3%</w:t>
            </w:r>
          </w:p>
        </w:tc>
      </w:tr>
    </w:tbl>
    <w:p w:rsidR="007C4C5C" w:rsidRDefault="007C4C5C" w:rsidP="007C4C5C">
      <w:pPr>
        <w:pStyle w:val="4-RTC"/>
        <w:numPr>
          <w:ilvl w:val="3"/>
          <w:numId w:val="2"/>
        </w:numPr>
      </w:pPr>
      <w:r>
        <w:t>Pigments:</w:t>
      </w:r>
    </w:p>
    <w:p w:rsidR="007C4C5C" w:rsidRDefault="007C4C5C" w:rsidP="007C4C5C">
      <w:pPr>
        <w:pStyle w:val="5-RTC"/>
        <w:numPr>
          <w:ilvl w:val="4"/>
          <w:numId w:val="2"/>
        </w:numPr>
      </w:pPr>
      <w:r>
        <w:t xml:space="preserve">White: The material shall be manufactured with sufficient titanium dioxide pigment to meet FHWA Docket No. FHWA-99-6190 Table 5 and Table 6 as revised and corrected. </w:t>
      </w:r>
    </w:p>
    <w:p w:rsidR="007C4C5C" w:rsidRDefault="007C4C5C" w:rsidP="007C4C5C">
      <w:pPr>
        <w:pStyle w:val="5-RTC"/>
        <w:numPr>
          <w:ilvl w:val="4"/>
          <w:numId w:val="2"/>
        </w:numPr>
      </w:pPr>
      <w:r>
        <w:t>Red, Blue, and Yellow: The material shall be manufactured with sufficient pigment to meet FHWA Docket No. FHWA-99-6190 Table 5 and Table 6 as revised and corrected. The yellow pigments must be organic and must be heavy-metal free.</w:t>
      </w:r>
    </w:p>
    <w:p w:rsidR="007C4C5C" w:rsidRDefault="007C4C5C" w:rsidP="007C4C5C">
      <w:pPr>
        <w:pStyle w:val="5-RTC"/>
        <w:numPr>
          <w:ilvl w:val="4"/>
          <w:numId w:val="2"/>
        </w:numPr>
      </w:pPr>
      <w:r>
        <w:t>Other Colors: The pigment must be heavy-metal free.</w:t>
      </w:r>
    </w:p>
    <w:p w:rsidR="007C4C5C" w:rsidRDefault="007C4C5C" w:rsidP="007C4C5C">
      <w:pPr>
        <w:pStyle w:val="4-RTC"/>
        <w:numPr>
          <w:ilvl w:val="3"/>
          <w:numId w:val="2"/>
        </w:numPr>
      </w:pPr>
      <w:r>
        <w:t>Heating indicators: The top surface of the material (same side as the factory applied surface beads) shall have regularly spaced indents. These indents shall act as a visual cue during application that the material has reached a molten state so satisfactory adhesion and proper bead embedment has been achieved and a post-application visual cue that the installation procedures have been followed.</w:t>
      </w:r>
    </w:p>
    <w:p w:rsidR="007C4C5C" w:rsidRDefault="007C4C5C" w:rsidP="007C4C5C">
      <w:pPr>
        <w:pStyle w:val="4-RTC"/>
        <w:numPr>
          <w:ilvl w:val="3"/>
          <w:numId w:val="2"/>
        </w:numPr>
      </w:pPr>
      <w:r>
        <w:t>Skid Resistance: The surface, with properly applied and embedded surface beads, must provide a minimum skid resistance value of 45 BPN when tested according to ASTM: E 303.</w:t>
      </w:r>
    </w:p>
    <w:p w:rsidR="007C4C5C" w:rsidRDefault="007C4C5C" w:rsidP="007C4C5C">
      <w:pPr>
        <w:pStyle w:val="4-RTC"/>
        <w:numPr>
          <w:ilvl w:val="3"/>
          <w:numId w:val="2"/>
        </w:numPr>
      </w:pPr>
      <w:r>
        <w:t xml:space="preserve">Thickness: The material must be supplied at a minimum thickness of 90 mils (2.29mm). </w:t>
      </w:r>
    </w:p>
    <w:p w:rsidR="007C4C5C" w:rsidRDefault="007C4C5C" w:rsidP="007C4C5C">
      <w:pPr>
        <w:pStyle w:val="4-RTC"/>
        <w:numPr>
          <w:ilvl w:val="3"/>
          <w:numId w:val="2"/>
        </w:numPr>
        <w:rPr>
          <w:rFonts w:cs="Arial"/>
          <w:vertAlign w:val="superscript"/>
        </w:rPr>
      </w:pPr>
      <w:r>
        <w:lastRenderedPageBreak/>
        <w:t>Retroreflectivity: The preformed retroreflective markings materials upon application shall exhibit adequate and uniform nighttime retroreflectivity when tested in accordance with ASTM # 1710. The applied material must have an initial minimum intensity reading of 500 mcd</w:t>
      </w:r>
      <w:r>
        <w:rPr>
          <w:rFonts w:cs="Arial"/>
        </w:rPr>
        <w:t>·m</w:t>
      </w:r>
      <w:r>
        <w:rPr>
          <w:rFonts w:cs="Arial"/>
          <w:vertAlign w:val="superscript"/>
        </w:rPr>
        <w:t>-2</w:t>
      </w:r>
      <w:r>
        <w:rPr>
          <w:rFonts w:cs="Arial"/>
        </w:rPr>
        <w:t>·lx</w:t>
      </w:r>
      <w:r>
        <w:rPr>
          <w:rFonts w:cs="Arial"/>
          <w:vertAlign w:val="superscript"/>
        </w:rPr>
        <w:t>-1</w:t>
      </w:r>
      <w:r>
        <w:rPr>
          <w:rFonts w:cs="Arial"/>
        </w:rPr>
        <w:t xml:space="preserve"> for white and 300</w:t>
      </w:r>
      <w:r w:rsidRPr="00A36D5B">
        <w:t xml:space="preserve"> </w:t>
      </w:r>
      <w:r>
        <w:t>mcd</w:t>
      </w:r>
      <w:r>
        <w:rPr>
          <w:rFonts w:cs="Arial"/>
        </w:rPr>
        <w:t>·m</w:t>
      </w:r>
      <w:r>
        <w:rPr>
          <w:rFonts w:cs="Arial"/>
          <w:vertAlign w:val="superscript"/>
        </w:rPr>
        <w:t>-2</w:t>
      </w:r>
      <w:r>
        <w:rPr>
          <w:rFonts w:cs="Arial"/>
        </w:rPr>
        <w:t>·lx</w:t>
      </w:r>
      <w:r>
        <w:rPr>
          <w:rFonts w:cs="Arial"/>
          <w:vertAlign w:val="superscript"/>
        </w:rPr>
        <w:t>-1</w:t>
      </w:r>
      <w:r>
        <w:rPr>
          <w:rFonts w:cs="Arial"/>
        </w:rPr>
        <w:t xml:space="preserve"> for yellow as measured with a Delta pavement marking retroreflectometer</w:t>
      </w:r>
    </w:p>
    <w:p w:rsidR="007C4C5C" w:rsidRPr="002B35F7" w:rsidRDefault="007C4C5C" w:rsidP="007C4C5C">
      <w:pPr>
        <w:pStyle w:val="5-RTC"/>
        <w:tabs>
          <w:tab w:val="clear" w:pos="1728"/>
        </w:tabs>
        <w:ind w:firstLine="0"/>
        <w:rPr>
          <w:vertAlign w:val="superscript"/>
        </w:rPr>
      </w:pPr>
      <w:r>
        <w:t>Note: Initial retroreflection and skid resistance are affected by the amount of heat applied during installation. When ambient temperatures are such that greater amounts of heat are required for proper installation, initial retroreflection and skid resistance levels may be affected.</w:t>
      </w:r>
    </w:p>
    <w:p w:rsidR="007C4C5C" w:rsidRDefault="007C4C5C" w:rsidP="007C4C5C">
      <w:pPr>
        <w:pStyle w:val="4-RTC"/>
        <w:numPr>
          <w:ilvl w:val="3"/>
          <w:numId w:val="2"/>
        </w:numPr>
      </w:pPr>
      <w:r>
        <w:t>Environmental Resistance: The material must be resistant to deterioration due to exposure to sunlight, water, salt or adverse weather conditions and impervious to oil and gasoline.</w:t>
      </w:r>
    </w:p>
    <w:p w:rsidR="007C4C5C" w:rsidRDefault="007C4C5C" w:rsidP="007C4C5C">
      <w:pPr>
        <w:pStyle w:val="3-RTC"/>
        <w:numPr>
          <w:ilvl w:val="2"/>
          <w:numId w:val="2"/>
        </w:numPr>
      </w:pPr>
      <w:r>
        <w:t>Application</w:t>
      </w:r>
    </w:p>
    <w:p w:rsidR="007C4C5C" w:rsidRDefault="007C4C5C" w:rsidP="007C4C5C">
      <w:pPr>
        <w:pStyle w:val="4-RTC"/>
        <w:numPr>
          <w:ilvl w:val="3"/>
          <w:numId w:val="2"/>
        </w:numPr>
      </w:pPr>
      <w:r>
        <w:t>Asphalt: The materials shall be applied using the propane torch method recommended by the manufacturer. The material must be able to be applied without minimum requirements for ambient and road temperatures and without any preheating of the pavement to a specific temperature. The material must be able to be applied without the use of a thermometer. The pavement shall be clean, dry and free of debris. Supplier must enclose application instructions with each box/package.</w:t>
      </w:r>
    </w:p>
    <w:p w:rsidR="007C4C5C" w:rsidRDefault="007C4C5C" w:rsidP="007C4C5C">
      <w:pPr>
        <w:pStyle w:val="4-RTC"/>
        <w:numPr>
          <w:ilvl w:val="3"/>
          <w:numId w:val="2"/>
        </w:numPr>
      </w:pPr>
      <w:r>
        <w:t xml:space="preserve">Portland Concrete: The same application procedure shall be used as described </w:t>
      </w:r>
      <w:r w:rsidRPr="009848D6">
        <w:t xml:space="preserve">under </w:t>
      </w:r>
      <w:r>
        <w:t>sub</w:t>
      </w:r>
      <w:r w:rsidRPr="009848D6">
        <w:t xml:space="preserve">section </w:t>
      </w:r>
      <w:r>
        <w:t xml:space="preserve">D.1 above. However, a compatible primer sealer may be applied before application to assure proper adhesion. </w:t>
      </w:r>
    </w:p>
    <w:p w:rsidR="007C4C5C" w:rsidRDefault="007C4C5C" w:rsidP="007C4C5C">
      <w:pPr>
        <w:pStyle w:val="3-RTC"/>
        <w:numPr>
          <w:ilvl w:val="2"/>
          <w:numId w:val="2"/>
        </w:numPr>
      </w:pPr>
      <w:r>
        <w:t xml:space="preserve">Packaging: The preformed thermoplastic markings shall be placed in protective plastic film with cardboard stiffeners where necessary to prevent damage in transit. Linear material must be cut to a maximum of 3-ft long pieces. Legends and symbols must also be supplied in flat pieces. The cartons in which packed shall be non-returnable and shall not exceed 40 inches in length and 25 inches in width, and be labeled for the ease of identification. The weight of individual carton must not exceed seventy (70) pounds. A protective film around the box must be applied in order to protect material from rain or premature aging. </w:t>
      </w:r>
    </w:p>
    <w:p w:rsidR="007C4C5C" w:rsidRDefault="007C4C5C" w:rsidP="007C4C5C">
      <w:pPr>
        <w:pStyle w:val="3-RTC"/>
        <w:numPr>
          <w:ilvl w:val="2"/>
          <w:numId w:val="2"/>
        </w:numPr>
      </w:pPr>
      <w:r>
        <w:t>Handling:  The preformed thermoplastic markings shall not be brittle and shall be sufficiently cohesive and flexible at temperatures exceeding 10</w:t>
      </w:r>
      <w:r>
        <w:rPr>
          <w:rFonts w:cs="Arial"/>
        </w:rPr>
        <w:t xml:space="preserve">°C (50°F) for one person to carry without danger of fracturing the material before installation.  </w:t>
      </w:r>
    </w:p>
    <w:p w:rsidR="007C4C5C" w:rsidRDefault="007C4C5C" w:rsidP="007C4C5C">
      <w:pPr>
        <w:pStyle w:val="3-RTC"/>
        <w:numPr>
          <w:ilvl w:val="2"/>
          <w:numId w:val="2"/>
        </w:numPr>
      </w:pPr>
      <w:r>
        <w:t xml:space="preserve">Technical Services: The successful bidder shall provide technical services as required. </w:t>
      </w:r>
    </w:p>
    <w:p w:rsidR="007C4C5C" w:rsidRDefault="007C4C5C" w:rsidP="007C4C5C">
      <w:pPr>
        <w:jc w:val="both"/>
        <w:rPr>
          <w:rFonts w:ascii="Arial" w:hAnsi="Arial" w:cs="Arial"/>
          <w:sz w:val="22"/>
          <w:szCs w:val="22"/>
        </w:rPr>
      </w:pPr>
    </w:p>
    <w:p w:rsidR="007C4C5C" w:rsidRPr="00C21778" w:rsidRDefault="007C4C5C" w:rsidP="007C4C5C">
      <w:pPr>
        <w:jc w:val="both"/>
        <w:rPr>
          <w:rFonts w:ascii="Arial" w:hAnsi="Arial" w:cs="Arial"/>
          <w:sz w:val="22"/>
          <w:szCs w:val="22"/>
        </w:rPr>
      </w:pPr>
    </w:p>
    <w:p w:rsidR="007C4C5C" w:rsidRPr="007C7692" w:rsidRDefault="007C4C5C" w:rsidP="007C4C5C">
      <w:pPr>
        <w:jc w:val="both"/>
        <w:rPr>
          <w:rFonts w:ascii="Arial" w:hAnsi="Arial" w:cs="Arial"/>
          <w:sz w:val="22"/>
          <w:szCs w:val="22"/>
        </w:rPr>
      </w:pPr>
    </w:p>
    <w:p w:rsidR="007C4C5C" w:rsidRPr="00086E9D" w:rsidRDefault="007C4C5C" w:rsidP="007C4C5C">
      <w:pPr>
        <w:widowControl/>
        <w:autoSpaceDE/>
        <w:autoSpaceDN/>
        <w:adjustRightInd/>
        <w:jc w:val="both"/>
        <w:rPr>
          <w:rFonts w:ascii="Arial" w:hAnsi="Arial" w:cs="Arial"/>
          <w:sz w:val="22"/>
          <w:szCs w:val="22"/>
        </w:rPr>
      </w:pPr>
    </w:p>
    <w:p w:rsidR="007C4C5C" w:rsidRDefault="007C4C5C" w:rsidP="007C4C5C">
      <w:pPr>
        <w:jc w:val="center"/>
      </w:pPr>
      <w:r w:rsidRPr="00086E9D">
        <w:rPr>
          <w:rFonts w:ascii="Arial" w:hAnsi="Arial" w:cs="Arial"/>
          <w:b/>
          <w:sz w:val="22"/>
          <w:szCs w:val="22"/>
        </w:rPr>
        <w:t>END OF SECTION 714</w:t>
      </w:r>
    </w:p>
    <w:p w:rsidR="00952DA6" w:rsidRDefault="00F85E86"/>
    <w:sectPr w:rsidR="00952D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662" w:rsidRDefault="00D10662" w:rsidP="00EB2021">
      <w:r>
        <w:separator/>
      </w:r>
    </w:p>
  </w:endnote>
  <w:endnote w:type="continuationSeparator" w:id="0">
    <w:p w:rsidR="00D10662" w:rsidRDefault="00D10662" w:rsidP="00EB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801 XBd BT">
    <w:panose1 w:val="020209030605050203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784D6E" w:rsidRPr="00D56C2C">
      <w:tc>
        <w:tcPr>
          <w:tcW w:w="3960" w:type="dxa"/>
          <w:vAlign w:val="center"/>
        </w:tcPr>
        <w:p w:rsidR="00784D6E" w:rsidRPr="00822FE7" w:rsidRDefault="00EB2021" w:rsidP="004F098A">
          <w:pPr>
            <w:pStyle w:val="Footer"/>
            <w:rPr>
              <w:rFonts w:ascii="Arial" w:hAnsi="Arial" w:cs="Arial"/>
              <w:sz w:val="16"/>
              <w:szCs w:val="16"/>
            </w:rPr>
          </w:pPr>
          <w:r>
            <w:rPr>
              <w:rFonts w:ascii="Arial" w:hAnsi="Arial" w:cs="Arial"/>
              <w:sz w:val="16"/>
              <w:szCs w:val="16"/>
            </w:rPr>
            <w:t>PROJECT NAME</w:t>
          </w:r>
        </w:p>
      </w:tc>
      <w:tc>
        <w:tcPr>
          <w:tcW w:w="1440" w:type="dxa"/>
          <w:vAlign w:val="center"/>
        </w:tcPr>
        <w:p w:rsidR="00784D6E" w:rsidRPr="00822FE7" w:rsidRDefault="00F85E86" w:rsidP="004F098A">
          <w:pPr>
            <w:pStyle w:val="Footer"/>
            <w:jc w:val="center"/>
            <w:rPr>
              <w:rFonts w:ascii="Arial" w:hAnsi="Arial" w:cs="Arial"/>
              <w:sz w:val="16"/>
              <w:szCs w:val="16"/>
            </w:rPr>
          </w:pPr>
        </w:p>
      </w:tc>
      <w:tc>
        <w:tcPr>
          <w:tcW w:w="3960" w:type="dxa"/>
          <w:vAlign w:val="center"/>
        </w:tcPr>
        <w:p w:rsidR="00784D6E" w:rsidRPr="00F839A1" w:rsidRDefault="00D10662" w:rsidP="00EB2021">
          <w:pPr>
            <w:pStyle w:val="Footer"/>
            <w:jc w:val="right"/>
            <w:rPr>
              <w:rFonts w:ascii="Arial" w:hAnsi="Arial" w:cs="Arial"/>
              <w:sz w:val="16"/>
              <w:szCs w:val="16"/>
            </w:rPr>
          </w:pPr>
          <w:r w:rsidRPr="00F839A1">
            <w:rPr>
              <w:rFonts w:ascii="Arial" w:hAnsi="Arial" w:cs="Arial"/>
              <w:sz w:val="16"/>
              <w:szCs w:val="16"/>
            </w:rPr>
            <w:t xml:space="preserve">Bid No. </w:t>
          </w:r>
        </w:p>
      </w:tc>
    </w:tr>
    <w:tr w:rsidR="00784D6E" w:rsidRPr="00D56C2C">
      <w:tc>
        <w:tcPr>
          <w:tcW w:w="3960" w:type="dxa"/>
          <w:vAlign w:val="center"/>
        </w:tcPr>
        <w:p w:rsidR="00784D6E" w:rsidRPr="00822FE7" w:rsidRDefault="00F85E86" w:rsidP="004F098A">
          <w:pPr>
            <w:pStyle w:val="Footer"/>
            <w:rPr>
              <w:rFonts w:ascii="Arial" w:hAnsi="Arial" w:cs="Arial"/>
              <w:sz w:val="16"/>
              <w:szCs w:val="16"/>
            </w:rPr>
          </w:pPr>
        </w:p>
      </w:tc>
      <w:tc>
        <w:tcPr>
          <w:tcW w:w="1440" w:type="dxa"/>
          <w:vAlign w:val="center"/>
        </w:tcPr>
        <w:p w:rsidR="00784D6E" w:rsidRPr="00822FE7" w:rsidRDefault="00F85E86" w:rsidP="004F098A">
          <w:pPr>
            <w:pStyle w:val="Footer"/>
            <w:jc w:val="center"/>
            <w:rPr>
              <w:rFonts w:ascii="Arial" w:hAnsi="Arial" w:cs="Arial"/>
              <w:sz w:val="16"/>
              <w:szCs w:val="16"/>
            </w:rPr>
          </w:pPr>
        </w:p>
      </w:tc>
      <w:tc>
        <w:tcPr>
          <w:tcW w:w="3960" w:type="dxa"/>
          <w:vAlign w:val="center"/>
        </w:tcPr>
        <w:p w:rsidR="00784D6E" w:rsidRPr="00F839A1" w:rsidRDefault="00D10662" w:rsidP="00F71413">
          <w:pPr>
            <w:pStyle w:val="Footer"/>
            <w:jc w:val="right"/>
            <w:rPr>
              <w:rFonts w:ascii="Arial" w:hAnsi="Arial" w:cs="Arial"/>
              <w:sz w:val="16"/>
              <w:szCs w:val="16"/>
            </w:rPr>
          </w:pPr>
          <w:r w:rsidRPr="00F839A1">
            <w:rPr>
              <w:rFonts w:ascii="Arial" w:hAnsi="Arial" w:cs="Arial"/>
              <w:i/>
              <w:sz w:val="16"/>
              <w:szCs w:val="16"/>
            </w:rPr>
            <w:t>CLVRev</w:t>
          </w:r>
          <w:r w:rsidR="007C4C5C">
            <w:rPr>
              <w:rFonts w:ascii="Arial" w:hAnsi="Arial" w:cs="Arial"/>
              <w:i/>
              <w:sz w:val="16"/>
              <w:szCs w:val="16"/>
            </w:rPr>
            <w:t>1221</w:t>
          </w:r>
          <w:r w:rsidR="00461869">
            <w:rPr>
              <w:rFonts w:ascii="Arial" w:hAnsi="Arial" w:cs="Arial"/>
              <w:i/>
              <w:sz w:val="16"/>
              <w:szCs w:val="16"/>
            </w:rPr>
            <w:t>17</w:t>
          </w:r>
        </w:p>
      </w:tc>
    </w:tr>
    <w:tr w:rsidR="00784D6E" w:rsidRPr="00D56C2C">
      <w:tc>
        <w:tcPr>
          <w:tcW w:w="3960" w:type="dxa"/>
          <w:vAlign w:val="center"/>
        </w:tcPr>
        <w:p w:rsidR="00784D6E" w:rsidRPr="00822FE7" w:rsidRDefault="00F85E86" w:rsidP="004F098A">
          <w:pPr>
            <w:pStyle w:val="Footer"/>
            <w:rPr>
              <w:rFonts w:ascii="Arial" w:hAnsi="Arial" w:cs="Arial"/>
              <w:sz w:val="16"/>
              <w:szCs w:val="16"/>
            </w:rPr>
          </w:pPr>
        </w:p>
      </w:tc>
      <w:tc>
        <w:tcPr>
          <w:tcW w:w="1440" w:type="dxa"/>
          <w:vAlign w:val="center"/>
        </w:tcPr>
        <w:p w:rsidR="00784D6E" w:rsidRPr="00822FE7" w:rsidRDefault="00F85E86" w:rsidP="004F098A">
          <w:pPr>
            <w:pStyle w:val="Footer"/>
            <w:jc w:val="center"/>
            <w:rPr>
              <w:rFonts w:ascii="Arial" w:hAnsi="Arial" w:cs="Arial"/>
              <w:sz w:val="16"/>
              <w:szCs w:val="16"/>
            </w:rPr>
          </w:pPr>
        </w:p>
      </w:tc>
      <w:tc>
        <w:tcPr>
          <w:tcW w:w="3960" w:type="dxa"/>
          <w:vAlign w:val="center"/>
        </w:tcPr>
        <w:p w:rsidR="00784D6E" w:rsidRPr="00B41919" w:rsidRDefault="00F85E86" w:rsidP="004F098A">
          <w:pPr>
            <w:pStyle w:val="Footer"/>
            <w:jc w:val="right"/>
            <w:rPr>
              <w:rFonts w:ascii="Arial" w:hAnsi="Arial" w:cs="Arial"/>
              <w:sz w:val="16"/>
              <w:szCs w:val="16"/>
            </w:rPr>
          </w:pPr>
        </w:p>
      </w:tc>
    </w:tr>
    <w:tr w:rsidR="00784D6E" w:rsidRPr="00D56C2C">
      <w:tc>
        <w:tcPr>
          <w:tcW w:w="3960" w:type="dxa"/>
          <w:vAlign w:val="center"/>
        </w:tcPr>
        <w:p w:rsidR="00784D6E" w:rsidRPr="00C3372F" w:rsidRDefault="00F85E86" w:rsidP="004F098A">
          <w:pPr>
            <w:pStyle w:val="Footer"/>
            <w:rPr>
              <w:rFonts w:ascii="Arial" w:hAnsi="Arial" w:cs="Arial"/>
              <w:i/>
              <w:sz w:val="16"/>
              <w:szCs w:val="16"/>
            </w:rPr>
          </w:pPr>
        </w:p>
      </w:tc>
      <w:tc>
        <w:tcPr>
          <w:tcW w:w="1440" w:type="dxa"/>
          <w:vAlign w:val="center"/>
        </w:tcPr>
        <w:p w:rsidR="00784D6E" w:rsidRDefault="00D10662" w:rsidP="00086E9D">
          <w:pPr>
            <w:pStyle w:val="Footer"/>
            <w:jc w:val="center"/>
            <w:rPr>
              <w:rFonts w:ascii="Arial" w:hAnsi="Arial" w:cs="Arial"/>
              <w:b/>
              <w:bCs/>
              <w:sz w:val="22"/>
            </w:rPr>
          </w:pPr>
          <w:r>
            <w:rPr>
              <w:rFonts w:ascii="Arial" w:hAnsi="Arial" w:cs="Arial"/>
              <w:b/>
              <w:bCs/>
              <w:sz w:val="22"/>
            </w:rPr>
            <w:t>SP-714-</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F85E86">
            <w:rPr>
              <w:rStyle w:val="PageNumber"/>
              <w:rFonts w:ascii="Arial" w:hAnsi="Arial" w:cs="Arial"/>
              <w:b/>
              <w:bCs/>
              <w:noProof/>
              <w:sz w:val="22"/>
            </w:rPr>
            <w:t>1</w:t>
          </w:r>
          <w:r>
            <w:rPr>
              <w:rStyle w:val="PageNumber"/>
              <w:rFonts w:ascii="Arial" w:hAnsi="Arial" w:cs="Arial"/>
              <w:b/>
              <w:bCs/>
              <w:sz w:val="22"/>
            </w:rPr>
            <w:fldChar w:fldCharType="end"/>
          </w:r>
        </w:p>
      </w:tc>
      <w:tc>
        <w:tcPr>
          <w:tcW w:w="3960" w:type="dxa"/>
          <w:vAlign w:val="center"/>
        </w:tcPr>
        <w:p w:rsidR="00784D6E" w:rsidRPr="00B41919" w:rsidRDefault="00F85E86" w:rsidP="004F098A">
          <w:pPr>
            <w:pStyle w:val="Footer"/>
            <w:jc w:val="right"/>
            <w:rPr>
              <w:rFonts w:ascii="Arial" w:hAnsi="Arial" w:cs="Arial"/>
              <w:sz w:val="22"/>
            </w:rPr>
          </w:pPr>
        </w:p>
      </w:tc>
    </w:tr>
  </w:tbl>
  <w:p w:rsidR="00784D6E" w:rsidRDefault="00F85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662" w:rsidRDefault="00D10662" w:rsidP="00EB2021">
      <w:r>
        <w:separator/>
      </w:r>
    </w:p>
  </w:footnote>
  <w:footnote w:type="continuationSeparator" w:id="0">
    <w:p w:rsidR="00D10662" w:rsidRDefault="00D10662" w:rsidP="00EB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D6E" w:rsidRPr="00822FE7" w:rsidRDefault="00D10662">
    <w:pPr>
      <w:pStyle w:val="Header"/>
      <w:jc w:val="right"/>
      <w:rPr>
        <w:rFonts w:ascii="Arial" w:hAnsi="Arial" w:cs="Arial"/>
        <w:b/>
        <w:bCs/>
        <w:sz w:val="22"/>
        <w:szCs w:val="22"/>
      </w:rPr>
    </w:pPr>
    <w:r>
      <w:rPr>
        <w:rFonts w:ascii="Arial" w:hAnsi="Arial" w:cs="Arial"/>
        <w:b/>
        <w:bCs/>
        <w:sz w:val="22"/>
        <w:szCs w:val="22"/>
      </w:rPr>
      <w:t>SP 714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6FF8"/>
    <w:multiLevelType w:val="hybridMultilevel"/>
    <w:tmpl w:val="C042272E"/>
    <w:lvl w:ilvl="0" w:tplc="4192033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31910"/>
    <w:multiLevelType w:val="multilevel"/>
    <w:tmpl w:val="0F929FE0"/>
    <w:lvl w:ilvl="0">
      <w:start w:val="1"/>
      <w:numFmt w:val="decimalZero"/>
      <w:lvlRestart w:val="0"/>
      <w:suff w:val="nothing"/>
      <w:lvlText w:val="%1"/>
      <w:lvlJc w:val="center"/>
      <w:rPr>
        <w:rFonts w:cs="Times New Roman" w:hint="default"/>
        <w:caps/>
        <w:vanish/>
      </w:rPr>
    </w:lvl>
    <w:lvl w:ilvl="1">
      <w:start w:val="1"/>
      <w:numFmt w:val="decimalZero"/>
      <w:lvlText w:val="714.%1.%2"/>
      <w:lvlJc w:val="left"/>
      <w:pPr>
        <w:tabs>
          <w:tab w:val="num" w:pos="864"/>
        </w:tabs>
        <w:ind w:left="864" w:hanging="864"/>
      </w:pPr>
      <w:rPr>
        <w:rFonts w:cs="Times New Roman" w:hint="default"/>
      </w:rPr>
    </w:lvl>
    <w:lvl w:ilvl="2">
      <w:start w:val="1"/>
      <w:numFmt w:val="upperLetter"/>
      <w:lvlText w:val="%3."/>
      <w:lvlJc w:val="left"/>
      <w:pPr>
        <w:tabs>
          <w:tab w:val="num" w:pos="576"/>
        </w:tabs>
        <w:ind w:left="576" w:hanging="576"/>
      </w:pPr>
      <w:rPr>
        <w:rFonts w:cs="Times New Roman" w:hint="default"/>
      </w:rPr>
    </w:lvl>
    <w:lvl w:ilvl="3">
      <w:start w:val="1"/>
      <w:numFmt w:val="decimal"/>
      <w:lvlText w:val="%4."/>
      <w:lvlJc w:val="left"/>
      <w:pPr>
        <w:tabs>
          <w:tab w:val="num" w:pos="1152"/>
        </w:tabs>
        <w:ind w:left="1152" w:hanging="576"/>
      </w:pPr>
      <w:rPr>
        <w:rFonts w:cs="Times New Roman" w:hint="default"/>
        <w:vertAlign w:val="baseline"/>
      </w:rPr>
    </w:lvl>
    <w:lvl w:ilvl="4">
      <w:start w:val="1"/>
      <w:numFmt w:val="lowerLetter"/>
      <w:lvlText w:val="%5."/>
      <w:lvlJc w:val="left"/>
      <w:pPr>
        <w:tabs>
          <w:tab w:val="num" w:pos="1728"/>
        </w:tabs>
        <w:ind w:left="1728" w:hanging="576"/>
      </w:pPr>
      <w:rPr>
        <w:rFonts w:cs="Times New Roman" w:hint="default"/>
      </w:rPr>
    </w:lvl>
    <w:lvl w:ilvl="5">
      <w:start w:val="1"/>
      <w:numFmt w:val="decimal"/>
      <w:lvlText w:val="%6)"/>
      <w:lvlJc w:val="left"/>
      <w:pPr>
        <w:tabs>
          <w:tab w:val="num" w:pos="2304"/>
        </w:tabs>
        <w:ind w:left="2304" w:hanging="576"/>
      </w:pPr>
      <w:rPr>
        <w:rFonts w:cs="Times New Roman" w:hint="default"/>
      </w:rPr>
    </w:lvl>
    <w:lvl w:ilvl="6">
      <w:start w:val="1"/>
      <w:numFmt w:val="lowerLetter"/>
      <w:lvlText w:val="%7)"/>
      <w:lvlJc w:val="left"/>
      <w:pPr>
        <w:tabs>
          <w:tab w:val="num" w:pos="2880"/>
        </w:tabs>
        <w:ind w:left="2880" w:hanging="576"/>
      </w:pPr>
      <w:rPr>
        <w:rFonts w:cs="Times New Roman" w:hint="default"/>
        <w:b w:val="0"/>
        <w:i w:val="0"/>
      </w:rPr>
    </w:lvl>
    <w:lvl w:ilvl="7">
      <w:start w:val="1"/>
      <w:numFmt w:val="decimal"/>
      <w:lvlText w:val="(%8)"/>
      <w:lvlJc w:val="left"/>
      <w:pPr>
        <w:tabs>
          <w:tab w:val="num" w:pos="3456"/>
        </w:tabs>
        <w:ind w:left="3456" w:hanging="576"/>
      </w:pPr>
      <w:rPr>
        <w:rFonts w:cs="Times New Roman" w:hint="default"/>
      </w:rPr>
    </w:lvl>
    <w:lvl w:ilvl="8">
      <w:start w:val="1"/>
      <w:numFmt w:val="lowerLetter"/>
      <w:lvlText w:val="(%9)"/>
      <w:lvlJc w:val="left"/>
      <w:pPr>
        <w:tabs>
          <w:tab w:val="num" w:pos="4032"/>
        </w:tabs>
        <w:ind w:left="4032" w:hanging="576"/>
      </w:pPr>
      <w:rPr>
        <w:rFonts w:cs="Times New Roman" w:hint="default"/>
      </w:rPr>
    </w:lvl>
  </w:abstractNum>
  <w:abstractNum w:abstractNumId="2" w15:restartNumberingAfterBreak="0">
    <w:nsid w:val="75B902BB"/>
    <w:multiLevelType w:val="hybridMultilevel"/>
    <w:tmpl w:val="F64EB7FC"/>
    <w:lvl w:ilvl="0" w:tplc="D794E00E">
      <w:start w:val="3"/>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21"/>
    <w:rsid w:val="00125DDD"/>
    <w:rsid w:val="00200807"/>
    <w:rsid w:val="00461869"/>
    <w:rsid w:val="007C4C5C"/>
    <w:rsid w:val="009B18E9"/>
    <w:rsid w:val="00B90244"/>
    <w:rsid w:val="00D10662"/>
    <w:rsid w:val="00EB2021"/>
    <w:rsid w:val="00F85E86"/>
    <w:rsid w:val="00FF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9541B-8D85-4D84-9FE7-5DE92D22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21"/>
    <w:pPr>
      <w:widowControl w:val="0"/>
      <w:autoSpaceDE w:val="0"/>
      <w:autoSpaceDN w:val="0"/>
      <w:adjustRightInd w:val="0"/>
      <w:spacing w:after="0" w:line="240" w:lineRule="auto"/>
    </w:pPr>
    <w:rPr>
      <w:rFonts w:ascii="Dutch801 XBd BT" w:eastAsia="Times New Roman" w:hAnsi="Dutch801 XBd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2021"/>
    <w:pPr>
      <w:tabs>
        <w:tab w:val="center" w:pos="4320"/>
        <w:tab w:val="right" w:pos="8640"/>
      </w:tabs>
    </w:pPr>
  </w:style>
  <w:style w:type="character" w:customStyle="1" w:styleId="HeaderChar">
    <w:name w:val="Header Char"/>
    <w:basedOn w:val="DefaultParagraphFont"/>
    <w:link w:val="Header"/>
    <w:rsid w:val="00EB2021"/>
    <w:rPr>
      <w:rFonts w:ascii="Dutch801 XBd BT" w:eastAsia="Times New Roman" w:hAnsi="Dutch801 XBd BT" w:cs="Times New Roman"/>
      <w:sz w:val="24"/>
      <w:szCs w:val="24"/>
    </w:rPr>
  </w:style>
  <w:style w:type="paragraph" w:styleId="Footer">
    <w:name w:val="footer"/>
    <w:basedOn w:val="Normal"/>
    <w:link w:val="FooterChar"/>
    <w:rsid w:val="00EB2021"/>
    <w:pPr>
      <w:tabs>
        <w:tab w:val="center" w:pos="4320"/>
        <w:tab w:val="right" w:pos="8640"/>
      </w:tabs>
    </w:pPr>
  </w:style>
  <w:style w:type="character" w:customStyle="1" w:styleId="FooterChar">
    <w:name w:val="Footer Char"/>
    <w:basedOn w:val="DefaultParagraphFont"/>
    <w:link w:val="Footer"/>
    <w:rsid w:val="00EB2021"/>
    <w:rPr>
      <w:rFonts w:ascii="Dutch801 XBd BT" w:eastAsia="Times New Roman" w:hAnsi="Dutch801 XBd BT" w:cs="Times New Roman"/>
      <w:sz w:val="24"/>
      <w:szCs w:val="24"/>
    </w:rPr>
  </w:style>
  <w:style w:type="character" w:styleId="PageNumber">
    <w:name w:val="page number"/>
    <w:basedOn w:val="DefaultParagraphFont"/>
    <w:rsid w:val="00EB2021"/>
  </w:style>
  <w:style w:type="paragraph" w:styleId="ListParagraph">
    <w:name w:val="List Paragraph"/>
    <w:basedOn w:val="Normal"/>
    <w:uiPriority w:val="34"/>
    <w:qFormat/>
    <w:rsid w:val="00EB2021"/>
    <w:pPr>
      <w:widowControl/>
      <w:autoSpaceDE/>
      <w:autoSpaceDN/>
      <w:adjustRightInd/>
      <w:ind w:left="720"/>
    </w:pPr>
    <w:rPr>
      <w:rFonts w:ascii="Times New Roman" w:hAnsi="Times New Roman"/>
    </w:rPr>
  </w:style>
  <w:style w:type="paragraph" w:customStyle="1" w:styleId="4-RTC">
    <w:name w:val="4-RTC"/>
    <w:basedOn w:val="Normal"/>
    <w:rsid w:val="00EB2021"/>
    <w:pPr>
      <w:widowControl/>
      <w:tabs>
        <w:tab w:val="num" w:pos="1152"/>
      </w:tabs>
      <w:autoSpaceDE/>
      <w:autoSpaceDN/>
      <w:adjustRightInd/>
      <w:spacing w:before="120" w:after="120"/>
      <w:ind w:left="1152" w:hanging="576"/>
      <w:jc w:val="both"/>
    </w:pPr>
    <w:rPr>
      <w:rFonts w:ascii="Arial" w:hAnsi="Arial"/>
      <w:sz w:val="22"/>
    </w:rPr>
  </w:style>
  <w:style w:type="paragraph" w:customStyle="1" w:styleId="3-RTC">
    <w:name w:val="3-RTC"/>
    <w:basedOn w:val="Normal"/>
    <w:rsid w:val="00EB2021"/>
    <w:pPr>
      <w:widowControl/>
      <w:tabs>
        <w:tab w:val="num" w:pos="576"/>
      </w:tabs>
      <w:autoSpaceDE/>
      <w:autoSpaceDN/>
      <w:adjustRightInd/>
      <w:spacing w:before="120" w:after="120"/>
      <w:ind w:left="576" w:hanging="576"/>
      <w:jc w:val="both"/>
    </w:pPr>
    <w:rPr>
      <w:rFonts w:ascii="Arial" w:hAnsi="Arial"/>
      <w:sz w:val="22"/>
    </w:rPr>
  </w:style>
  <w:style w:type="paragraph" w:customStyle="1" w:styleId="5-RTC">
    <w:name w:val="5-RTC"/>
    <w:basedOn w:val="Normal"/>
    <w:rsid w:val="00EB2021"/>
    <w:pPr>
      <w:widowControl/>
      <w:tabs>
        <w:tab w:val="num" w:pos="1728"/>
      </w:tabs>
      <w:autoSpaceDE/>
      <w:autoSpaceDN/>
      <w:adjustRightInd/>
      <w:spacing w:before="120" w:after="120"/>
      <w:ind w:left="1728" w:hanging="576"/>
      <w:jc w:val="both"/>
    </w:pPr>
    <w:rPr>
      <w:rFonts w:ascii="Arial" w:hAnsi="Arial"/>
      <w:sz w:val="22"/>
    </w:rPr>
  </w:style>
  <w:style w:type="paragraph" w:customStyle="1" w:styleId="6-RTC">
    <w:name w:val="6-RTC"/>
    <w:basedOn w:val="Normal"/>
    <w:rsid w:val="00EB2021"/>
    <w:pPr>
      <w:widowControl/>
      <w:tabs>
        <w:tab w:val="num" w:pos="2304"/>
      </w:tabs>
      <w:autoSpaceDE/>
      <w:autoSpaceDN/>
      <w:adjustRightInd/>
      <w:spacing w:before="120" w:after="120"/>
      <w:ind w:left="2304" w:hanging="576"/>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Karanikolas</dc:creator>
  <cp:lastModifiedBy>Nicole Melton</cp:lastModifiedBy>
  <cp:revision>5</cp:revision>
  <dcterms:created xsi:type="dcterms:W3CDTF">2017-12-21T16:43:00Z</dcterms:created>
  <dcterms:modified xsi:type="dcterms:W3CDTF">2023-07-03T22:59:00Z</dcterms:modified>
</cp:coreProperties>
</file>